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DBC" w:rsidRDefault="00F9117D">
      <w:pPr>
        <w:jc w:val="center"/>
        <w:rPr>
          <w:rFonts w:ascii="黑体" w:eastAsia="黑体" w:hAnsi="黑体" w:cs="Tahoma"/>
          <w:color w:val="282828"/>
          <w:sz w:val="30"/>
          <w:szCs w:val="30"/>
        </w:rPr>
      </w:pPr>
      <w:r>
        <w:rPr>
          <w:rFonts w:ascii="黑体" w:eastAsia="黑体" w:hAnsi="黑体" w:cs="Tahoma" w:hint="eastAsia"/>
          <w:color w:val="282828"/>
          <w:sz w:val="30"/>
          <w:szCs w:val="30"/>
        </w:rPr>
        <w:t>第十四届全国大学生结构设计竞赛校内选拔赛</w:t>
      </w:r>
      <w:r w:rsidR="00EA7511">
        <w:rPr>
          <w:rFonts w:ascii="黑体" w:eastAsia="黑体" w:hAnsi="黑体" w:cs="Tahoma" w:hint="eastAsia"/>
          <w:color w:val="282828"/>
          <w:sz w:val="30"/>
          <w:szCs w:val="30"/>
        </w:rPr>
        <w:t>2号</w:t>
      </w:r>
      <w:r>
        <w:rPr>
          <w:rFonts w:ascii="黑体" w:eastAsia="黑体" w:hAnsi="黑体" w:cs="Tahoma" w:hint="eastAsia"/>
          <w:color w:val="282828"/>
          <w:sz w:val="30"/>
          <w:szCs w:val="30"/>
        </w:rPr>
        <w:t>通知</w:t>
      </w:r>
    </w:p>
    <w:p w:rsidR="003E2DBC" w:rsidRDefault="00F9117D">
      <w:pPr>
        <w:widowControl/>
        <w:shd w:val="clear" w:color="auto" w:fill="FFFFFF"/>
        <w:spacing w:line="360" w:lineRule="auto"/>
        <w:ind w:firstLineChars="200" w:firstLine="480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全国大学生结构设计竞赛由国家教育部、住房和城乡建设部、中国土木工程学会联合主办，是教育部确定的全国九大大学生学科竞赛之一。竞赛宗旨为培养大学生的创新意识、合作精神，提高大学生的创新设计能力、动手实践能力和综合素质，加强高校间的交流与合作。我校全国大学生结构设计竞赛校内选拔赛将于开学后启动，为了加快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校赛进度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和选拔效率，现将有关事项通知如下：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一、校赛赛</w:t>
      </w:r>
      <w:proofErr w:type="gramStart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题总体</w:t>
      </w:r>
      <w:proofErr w:type="gramEnd"/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说明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本次校内赛赛题为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单</w:t>
      </w:r>
      <w:proofErr w:type="gramStart"/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榀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桁架跨中加载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模型，其中桁架跨度为50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0m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m，高度不限，宽度不超过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400m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m</w:t>
      </w:r>
      <w:r w:rsidR="00882657">
        <w:rPr>
          <w:rFonts w:ascii="宋体" w:eastAsia="宋体" w:hAnsi="宋体" w:cs="Tahoma" w:hint="eastAsia"/>
          <w:color w:val="333333"/>
          <w:sz w:val="24"/>
          <w:szCs w:val="24"/>
        </w:rPr>
        <w:t>。跨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中设置加载节点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，两端需要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设置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稳定桁架的支座以保证结构在加载过程中不会</w:t>
      </w:r>
      <w:r w:rsidR="007E1E21">
        <w:rPr>
          <w:rFonts w:ascii="宋体" w:eastAsia="宋体" w:hAnsi="宋体" w:cs="Tahoma" w:hint="eastAsia"/>
          <w:color w:val="333333"/>
          <w:sz w:val="24"/>
          <w:szCs w:val="24"/>
        </w:rPr>
        <w:t>发生</w:t>
      </w:r>
      <w:r w:rsidR="00EC2AE4">
        <w:rPr>
          <w:rFonts w:ascii="宋体" w:eastAsia="宋体" w:hAnsi="宋体" w:cs="Tahoma" w:hint="eastAsia"/>
          <w:color w:val="333333"/>
          <w:sz w:val="24"/>
          <w:szCs w:val="24"/>
        </w:rPr>
        <w:t>侧向倾覆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。模型质量计为M。</w:t>
      </w:r>
    </w:p>
    <w:p w:rsidR="003E2DBC" w:rsidRDefault="00EC2AE4">
      <w:pPr>
        <w:widowControl/>
        <w:shd w:val="clear" w:color="auto" w:fill="FFFFFF"/>
        <w:spacing w:line="360" w:lineRule="auto"/>
        <w:jc w:val="center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hint="eastAsia"/>
          <w:noProof/>
        </w:rPr>
        <w:drawing>
          <wp:inline distT="0" distB="0" distL="0" distR="0">
            <wp:extent cx="4057650" cy="17145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117D">
        <w:rPr>
          <w:rFonts w:hint="eastAsia"/>
        </w:rPr>
        <w:t xml:space="preserve">  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二、加载方式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在跨中加载点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进行静力分级加载,一级荷载5KG,以后每级别加载2kg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每级加载持</w:t>
      </w:r>
      <w:proofErr w:type="gramStart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荷时间</w:t>
      </w:r>
      <w:proofErr w:type="gramEnd"/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15s</w:t>
      </w:r>
      <w:r w:rsidR="00537AC0">
        <w:rPr>
          <w:rFonts w:ascii="宋体" w:eastAsia="宋体" w:hAnsi="宋体" w:cs="Tahoma" w:hint="eastAsia"/>
          <w:color w:val="333333"/>
          <w:sz w:val="24"/>
          <w:szCs w:val="24"/>
        </w:rPr>
        <w:t>即算通过</w:t>
      </w:r>
      <w:r w:rsidR="00236C40">
        <w:rPr>
          <w:rFonts w:ascii="宋体" w:eastAsia="宋体" w:hAnsi="宋体" w:cs="Tahoma" w:hint="eastAsia"/>
          <w:color w:val="333333"/>
          <w:sz w:val="24"/>
          <w:szCs w:val="24"/>
        </w:rPr>
        <w:t>，</w:t>
      </w:r>
      <w:r w:rsidR="00262DD8">
        <w:rPr>
          <w:rFonts w:ascii="宋体" w:eastAsia="宋体" w:hAnsi="宋体" w:cs="Tahoma" w:hint="eastAsia"/>
          <w:color w:val="333333"/>
          <w:sz w:val="24"/>
          <w:szCs w:val="24"/>
        </w:rPr>
        <w:t>加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载次数不限，直至结构破坏。最终加载质量计为Q。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 xml:space="preserve">三、失效判别标准    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结构倒塌</w:t>
      </w:r>
      <w:r w:rsidR="0054366A">
        <w:rPr>
          <w:rFonts w:ascii="宋体" w:eastAsia="宋体" w:hAnsi="宋体" w:cs="Tahoma" w:hint="eastAsia"/>
          <w:color w:val="333333"/>
          <w:sz w:val="24"/>
          <w:szCs w:val="24"/>
        </w:rPr>
        <w:t>，整体侧向倾覆</w:t>
      </w:r>
      <w:r w:rsidR="006E5CFF"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四、评分标准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原则上要求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模型质量不易大于100g，考虑到大家手工制作误差，关于模型质量制定如下规则：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模型质量大于等于120g不能参与晋级比赛；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模型质量在100~120g之间者，得分系数乘以0.8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r；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裸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模型质量小于等于100g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不乘折减系数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  <w:vertAlign w:val="subscript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每队得分为系数为：F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=Q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/M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  <w:vertAlign w:val="subscript"/>
        </w:rPr>
        <w:t xml:space="preserve">i </w:t>
      </w: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*r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b/>
          <w:bCs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b/>
          <w:bCs/>
          <w:color w:val="333333"/>
          <w:sz w:val="24"/>
          <w:szCs w:val="24"/>
        </w:rPr>
        <w:t>五：竞赛机制计办法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为了增加比赛效率，节省大家时间，本次校内竞赛共分2轮进行，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lastRenderedPageBreak/>
        <w:t>第一轮：F</w:t>
      </w:r>
      <w:r>
        <w:rPr>
          <w:rFonts w:ascii="宋体" w:eastAsia="宋体" w:hAnsi="宋体" w:cs="Tahoma" w:hint="eastAsia"/>
          <w:color w:val="333333"/>
          <w:sz w:val="24"/>
          <w:szCs w:val="24"/>
          <w:vertAlign w:val="subscript"/>
        </w:rPr>
        <w:t>i</w:t>
      </w:r>
      <w:r>
        <w:rPr>
          <w:rFonts w:ascii="宋体" w:eastAsia="宋体" w:hAnsi="宋体" w:cs="Tahoma" w:hint="eastAsia"/>
          <w:color w:val="333333"/>
          <w:sz w:val="24"/>
          <w:szCs w:val="24"/>
        </w:rPr>
        <w:t>成绩最好的3只队伍进入决赛，模型试做及准备期7天。</w:t>
      </w:r>
    </w:p>
    <w:p w:rsidR="003E2DBC" w:rsidRDefault="00F9117D">
      <w:pPr>
        <w:widowControl/>
        <w:shd w:val="clear" w:color="auto" w:fill="FFFFFF"/>
        <w:spacing w:line="360" w:lineRule="auto"/>
        <w:rPr>
          <w:rFonts w:ascii="宋体" w:eastAsia="宋体" w:hAnsi="宋体" w:cs="Tahoma"/>
          <w:color w:val="333333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>第二轮：成绩最好的1只队伍代表学校进行校赛，模型试做及准备期10天，赛题</w:t>
      </w:r>
      <w:proofErr w:type="gramStart"/>
      <w:r>
        <w:rPr>
          <w:rFonts w:ascii="宋体" w:eastAsia="宋体" w:hAnsi="宋体" w:cs="Tahoma" w:hint="eastAsia"/>
          <w:color w:val="333333"/>
          <w:sz w:val="24"/>
          <w:szCs w:val="24"/>
        </w:rPr>
        <w:t>选用省赛赛</w:t>
      </w:r>
      <w:proofErr w:type="gramEnd"/>
      <w:r>
        <w:rPr>
          <w:rFonts w:ascii="宋体" w:eastAsia="宋体" w:hAnsi="宋体" w:cs="Tahoma" w:hint="eastAsia"/>
          <w:color w:val="333333"/>
          <w:sz w:val="24"/>
          <w:szCs w:val="24"/>
        </w:rPr>
        <w:t>题。</w:t>
      </w: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                                土木工程系 </w:t>
      </w:r>
    </w:p>
    <w:p w:rsidR="003E2DBC" w:rsidRDefault="00F9117D">
      <w:pPr>
        <w:widowControl/>
        <w:shd w:val="clear" w:color="auto" w:fill="FFFFFF"/>
        <w:spacing w:line="360" w:lineRule="auto"/>
        <w:jc w:val="right"/>
        <w:rPr>
          <w:rFonts w:ascii="Tahoma" w:eastAsia="宋体" w:hAnsi="Tahoma" w:cs="Tahoma"/>
          <w:color w:val="333333"/>
          <w:kern w:val="0"/>
          <w:sz w:val="24"/>
          <w:szCs w:val="24"/>
        </w:rPr>
      </w:pPr>
      <w:r>
        <w:rPr>
          <w:rFonts w:ascii="宋体" w:eastAsia="宋体" w:hAnsi="宋体" w:cs="Tahoma" w:hint="eastAsia"/>
          <w:color w:val="333333"/>
          <w:sz w:val="24"/>
          <w:szCs w:val="24"/>
        </w:rPr>
        <w:t xml:space="preserve">                                              </w:t>
      </w:r>
      <w:bookmarkStart w:id="0" w:name="_GoBack"/>
      <w:bookmarkEnd w:id="0"/>
    </w:p>
    <w:p w:rsidR="003E2DBC" w:rsidRDefault="003E2DBC"/>
    <w:sectPr w:rsidR="003E2D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13" w:rsidRDefault="00952013" w:rsidP="00EC2AE4">
      <w:r>
        <w:separator/>
      </w:r>
    </w:p>
  </w:endnote>
  <w:endnote w:type="continuationSeparator" w:id="0">
    <w:p w:rsidR="00952013" w:rsidRDefault="00952013" w:rsidP="00EC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13" w:rsidRDefault="00952013" w:rsidP="00EC2AE4">
      <w:r>
        <w:separator/>
      </w:r>
    </w:p>
  </w:footnote>
  <w:footnote w:type="continuationSeparator" w:id="0">
    <w:p w:rsidR="00952013" w:rsidRDefault="00952013" w:rsidP="00EC2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60DC6"/>
    <w:rsid w:val="00060DC6"/>
    <w:rsid w:val="001A0BFA"/>
    <w:rsid w:val="00200E60"/>
    <w:rsid w:val="00236C40"/>
    <w:rsid w:val="00262DD8"/>
    <w:rsid w:val="003E2DBC"/>
    <w:rsid w:val="003E4BE0"/>
    <w:rsid w:val="00464B81"/>
    <w:rsid w:val="00536406"/>
    <w:rsid w:val="00537AC0"/>
    <w:rsid w:val="0054366A"/>
    <w:rsid w:val="00570384"/>
    <w:rsid w:val="00696ECD"/>
    <w:rsid w:val="006E5CFF"/>
    <w:rsid w:val="007E1E21"/>
    <w:rsid w:val="007E3033"/>
    <w:rsid w:val="00882657"/>
    <w:rsid w:val="009435AD"/>
    <w:rsid w:val="00952013"/>
    <w:rsid w:val="00B32866"/>
    <w:rsid w:val="00BF7555"/>
    <w:rsid w:val="00D01C20"/>
    <w:rsid w:val="00EA7511"/>
    <w:rsid w:val="00EC2AE4"/>
    <w:rsid w:val="00ED5A7E"/>
    <w:rsid w:val="00F51115"/>
    <w:rsid w:val="00F9117D"/>
    <w:rsid w:val="00F942CB"/>
    <w:rsid w:val="00FF1EB1"/>
    <w:rsid w:val="04E01D28"/>
    <w:rsid w:val="09202281"/>
    <w:rsid w:val="0AB54B09"/>
    <w:rsid w:val="0B280A41"/>
    <w:rsid w:val="0DC0154F"/>
    <w:rsid w:val="10003F64"/>
    <w:rsid w:val="1023424D"/>
    <w:rsid w:val="1049741E"/>
    <w:rsid w:val="16B83924"/>
    <w:rsid w:val="194005E6"/>
    <w:rsid w:val="1BEE3D72"/>
    <w:rsid w:val="1C7F0661"/>
    <w:rsid w:val="1DC5517E"/>
    <w:rsid w:val="1ED6355B"/>
    <w:rsid w:val="21EC2BAE"/>
    <w:rsid w:val="270D3682"/>
    <w:rsid w:val="279E540C"/>
    <w:rsid w:val="29D03142"/>
    <w:rsid w:val="2F93745E"/>
    <w:rsid w:val="307911E6"/>
    <w:rsid w:val="334F1B05"/>
    <w:rsid w:val="339F2130"/>
    <w:rsid w:val="35E42E39"/>
    <w:rsid w:val="3781159C"/>
    <w:rsid w:val="394B5DE7"/>
    <w:rsid w:val="3B135C4E"/>
    <w:rsid w:val="3BC06136"/>
    <w:rsid w:val="3BF572E2"/>
    <w:rsid w:val="3D502F1A"/>
    <w:rsid w:val="3D9C496A"/>
    <w:rsid w:val="3F0E0DBA"/>
    <w:rsid w:val="41956811"/>
    <w:rsid w:val="419E0925"/>
    <w:rsid w:val="43320911"/>
    <w:rsid w:val="445D4234"/>
    <w:rsid w:val="44B3478B"/>
    <w:rsid w:val="452F27B5"/>
    <w:rsid w:val="461A4432"/>
    <w:rsid w:val="4A9165BA"/>
    <w:rsid w:val="4B7F3201"/>
    <w:rsid w:val="4C117BC0"/>
    <w:rsid w:val="4C461759"/>
    <w:rsid w:val="57823A40"/>
    <w:rsid w:val="586A291B"/>
    <w:rsid w:val="5A2C5576"/>
    <w:rsid w:val="5A512D59"/>
    <w:rsid w:val="5AEB4489"/>
    <w:rsid w:val="5CAD1A79"/>
    <w:rsid w:val="5D63679B"/>
    <w:rsid w:val="5D961318"/>
    <w:rsid w:val="60CA7B26"/>
    <w:rsid w:val="61561A2A"/>
    <w:rsid w:val="624E66D7"/>
    <w:rsid w:val="63E87F75"/>
    <w:rsid w:val="65265181"/>
    <w:rsid w:val="663641A7"/>
    <w:rsid w:val="6AC177B4"/>
    <w:rsid w:val="6B636385"/>
    <w:rsid w:val="6D9C11E9"/>
    <w:rsid w:val="6DB17D11"/>
    <w:rsid w:val="701B5A9D"/>
    <w:rsid w:val="707365C4"/>
    <w:rsid w:val="70D67DEC"/>
    <w:rsid w:val="7413099D"/>
    <w:rsid w:val="746943F1"/>
    <w:rsid w:val="74990214"/>
    <w:rsid w:val="766B10A1"/>
    <w:rsid w:val="767D6173"/>
    <w:rsid w:val="76B564A3"/>
    <w:rsid w:val="77C26F0E"/>
    <w:rsid w:val="78127083"/>
    <w:rsid w:val="781E61F3"/>
    <w:rsid w:val="7886749F"/>
    <w:rsid w:val="79DC7CF3"/>
    <w:rsid w:val="79FC632D"/>
    <w:rsid w:val="7BF14D44"/>
    <w:rsid w:val="7FFB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333333"/>
      <w:u w:val="non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EC2A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EC2A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EC2AE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119</Words>
  <Characters>679</Characters>
  <Application>Microsoft Office Word</Application>
  <DocSecurity>0</DocSecurity>
  <Lines>5</Lines>
  <Paragraphs>1</Paragraphs>
  <ScaleCrop>false</ScaleCrop>
  <Company>Microsoft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dcterms:created xsi:type="dcterms:W3CDTF">2020-03-02T11:37:00Z</dcterms:created>
  <dcterms:modified xsi:type="dcterms:W3CDTF">2020-12-22T01:08:00Z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