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D3AF7">
      <w:pPr>
        <w:jc w:val="center"/>
        <w:rPr>
          <w:rFonts w:ascii="黑体" w:hAnsi="黑体" w:eastAsia="黑体" w:cs="Tahoma"/>
          <w:color w:val="auto"/>
          <w:sz w:val="30"/>
          <w:szCs w:val="30"/>
        </w:rPr>
      </w:pPr>
      <w:r>
        <w:rPr>
          <w:rFonts w:hint="eastAsia" w:ascii="黑体" w:hAnsi="黑体" w:eastAsia="黑体" w:cs="Tahoma"/>
          <w:color w:val="auto"/>
          <w:sz w:val="30"/>
          <w:szCs w:val="30"/>
        </w:rPr>
        <w:t>第十</w:t>
      </w:r>
      <w:r>
        <w:rPr>
          <w:rFonts w:hint="eastAsia" w:ascii="黑体" w:hAnsi="黑体" w:eastAsia="黑体" w:cs="Tahoma"/>
          <w:color w:val="auto"/>
          <w:sz w:val="30"/>
          <w:szCs w:val="30"/>
          <w:lang w:val="en-US" w:eastAsia="zh-CN"/>
        </w:rPr>
        <w:t>八</w:t>
      </w:r>
      <w:r>
        <w:rPr>
          <w:rFonts w:hint="eastAsia" w:ascii="黑体" w:hAnsi="黑体" w:eastAsia="黑体" w:cs="Tahoma"/>
          <w:color w:val="auto"/>
          <w:sz w:val="30"/>
          <w:szCs w:val="30"/>
        </w:rPr>
        <w:t>届全国大学生结构设计竞赛校内选拔赛赛题及选拔原则</w:t>
      </w:r>
    </w:p>
    <w:p w14:paraId="05390564">
      <w:pPr>
        <w:widowControl/>
        <w:shd w:val="clear" w:color="auto" w:fill="FFFFFF"/>
        <w:spacing w:line="360" w:lineRule="auto"/>
        <w:rPr>
          <w:rFonts w:ascii="Tahoma" w:hAnsi="Tahoma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一、校赛赛题总体说明</w:t>
      </w:r>
      <w:r>
        <w:rPr>
          <w:rFonts w:hint="eastAsia" w:ascii="宋体" w:hAnsi="宋体" w:eastAsia="宋体" w:cs="Tahoma"/>
          <w:color w:val="auto"/>
          <w:sz w:val="24"/>
          <w:szCs w:val="24"/>
        </w:rPr>
        <w:t xml:space="preserve"> </w:t>
      </w:r>
    </w:p>
    <w:p w14:paraId="0B893E02">
      <w:pPr>
        <w:widowControl/>
        <w:shd w:val="clear" w:color="auto" w:fill="FFFFFF"/>
        <w:spacing w:line="360" w:lineRule="auto"/>
        <w:ind w:firstLine="480" w:firstLineChars="200"/>
        <w:rPr>
          <w:rFonts w:hint="default" w:ascii="宋体" w:hAnsi="宋体" w:eastAsia="宋体" w:cs="Tahoma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制作上承式桥梁模型连接两岸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，</w:t>
      </w:r>
      <w:r>
        <w:rPr>
          <w:rFonts w:hint="eastAsia" w:ascii="宋体" w:hAnsi="宋体" w:eastAsia="宋体" w:cs="Tahoma"/>
          <w:b/>
          <w:color w:val="auto"/>
          <w:sz w:val="24"/>
          <w:szCs w:val="24"/>
        </w:rPr>
        <w:t>模型跨度不小于</w:t>
      </w:r>
      <w:r>
        <w:rPr>
          <w:rFonts w:hint="eastAsia" w:ascii="宋体" w:hAnsi="宋体" w:eastAsia="宋体" w:cs="Tahoma"/>
          <w:b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Tahoma"/>
          <w:b/>
          <w:color w:val="auto"/>
          <w:sz w:val="24"/>
          <w:szCs w:val="24"/>
        </w:rPr>
        <w:t>00mm，</w:t>
      </w:r>
      <w:r>
        <w:rPr>
          <w:rFonts w:hint="eastAsia" w:ascii="宋体" w:hAnsi="宋体" w:eastAsia="宋体" w:cs="Tahoma"/>
          <w:b/>
          <w:color w:val="auto"/>
          <w:sz w:val="24"/>
          <w:szCs w:val="24"/>
          <w:lang w:val="en-US" w:eastAsia="zh-CN"/>
        </w:rPr>
        <w:t>不超过800mm，</w:t>
      </w:r>
      <w:r>
        <w:rPr>
          <w:rFonts w:hint="eastAsia" w:ascii="宋体" w:hAnsi="宋体" w:eastAsia="宋体" w:cs="Tahoma"/>
          <w:b/>
          <w:color w:val="auto"/>
          <w:sz w:val="24"/>
          <w:szCs w:val="24"/>
        </w:rPr>
        <w:t>高度不超过1</w:t>
      </w:r>
      <w:r>
        <w:rPr>
          <w:rFonts w:hint="eastAsia" w:ascii="宋体" w:hAnsi="宋体" w:eastAsia="宋体" w:cs="Tahoma"/>
          <w:b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ahoma"/>
          <w:b/>
          <w:color w:val="auto"/>
          <w:sz w:val="24"/>
          <w:szCs w:val="24"/>
        </w:rPr>
        <w:t>0mm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，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宽度不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超过200mm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桥梁跨度正中的顶部平面为加载平面，该平面需可以平稳支撑一块加载板，使之基本水平且不会滑落。加载板为50mm*120mm的矩形钢板，中间穿过一条钢丝绳悬挂荷载。如图1所示，加载时，加载板的短边边与桥梁的跨度方向平行。图1为示意图，实际模型无需按图制作。</w:t>
      </w:r>
    </w:p>
    <w:p w14:paraId="6081913E">
      <w:pPr>
        <w:widowControl/>
        <w:shd w:val="clear" w:color="auto" w:fill="FFFFFF"/>
        <w:spacing w:line="360" w:lineRule="auto"/>
        <w:ind w:firstLine="420" w:firstLineChars="200"/>
        <w:jc w:val="center"/>
      </w:pPr>
      <w:r>
        <w:drawing>
          <wp:inline distT="0" distB="0" distL="114300" distR="114300">
            <wp:extent cx="4227195" cy="2304415"/>
            <wp:effectExtent l="0" t="0" r="190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7195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53BD1">
      <w:pPr>
        <w:widowControl/>
        <w:shd w:val="clear" w:color="auto" w:fill="FFFFFF"/>
        <w:spacing w:line="360" w:lineRule="auto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图1 模型及加载方式示意图</w:t>
      </w:r>
    </w:p>
    <w:p w14:paraId="075E8914">
      <w:pPr>
        <w:widowControl/>
        <w:shd w:val="clear" w:color="auto" w:fill="FFFFFF"/>
        <w:spacing w:line="360" w:lineRule="auto"/>
        <w:jc w:val="both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 </w:t>
      </w:r>
    </w:p>
    <w:p w14:paraId="26AAB22C">
      <w:pPr>
        <w:widowControl/>
        <w:shd w:val="clear" w:color="auto" w:fill="FFFFFF"/>
        <w:spacing w:line="360" w:lineRule="auto"/>
        <w:rPr>
          <w:rFonts w:ascii="宋体" w:hAnsi="宋体" w:eastAsia="宋体" w:cs="Tahoma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二、加载方式</w:t>
      </w:r>
    </w:p>
    <w:p w14:paraId="4C9E3299">
      <w:pPr>
        <w:widowControl/>
        <w:shd w:val="clear" w:color="auto" w:fill="FFFFFF"/>
        <w:spacing w:line="360" w:lineRule="auto"/>
        <w:ind w:firstLine="480" w:firstLineChars="200"/>
        <w:rPr>
          <w:rFonts w:hint="default" w:ascii="宋体" w:hAnsi="宋体" w:eastAsia="宋体" w:cs="Tahoma"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桥岸平台两端等高，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间距600mm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。如图2所示，将桥梁模型跨架在桥岸平台上进行静力加载，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一级荷载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KG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钢板、钢丝绳及托盘的重量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,以后每级别加载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kg，每级加载持荷时间10s即算通过，加载次数不限，直至结构破坏。最终加载质量计为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Q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baseline"/>
          <w:lang w:val="en-US" w:eastAsia="zh-CN"/>
        </w:rPr>
        <w:t>（单位：kg）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。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图2为示意图，实际模型无需按图制作。</w:t>
      </w:r>
    </w:p>
    <w:p w14:paraId="194829C8">
      <w:pPr>
        <w:widowControl/>
        <w:shd w:val="clear" w:color="auto" w:fill="FFFFFF"/>
        <w:spacing w:line="360" w:lineRule="auto"/>
        <w:ind w:firstLine="420" w:firstLineChars="0"/>
        <w:rPr>
          <w:rFonts w:hint="eastAsia" w:ascii="宋体" w:hAnsi="宋体" w:eastAsia="宋体" w:cs="Tahoma"/>
          <w:color w:val="auto"/>
          <w:sz w:val="24"/>
          <w:szCs w:val="24"/>
        </w:rPr>
      </w:pPr>
    </w:p>
    <w:p w14:paraId="79AAF3B0">
      <w:pPr>
        <w:widowControl/>
        <w:shd w:val="clear" w:color="auto" w:fill="FFFFFF"/>
        <w:spacing w:line="360" w:lineRule="auto"/>
        <w:ind w:firstLine="420" w:firstLineChars="0"/>
        <w:jc w:val="center"/>
      </w:pPr>
      <w:r>
        <w:drawing>
          <wp:inline distT="0" distB="0" distL="114300" distR="114300">
            <wp:extent cx="3937635" cy="3065145"/>
            <wp:effectExtent l="0" t="0" r="571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635" cy="306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3CADC">
      <w:pPr>
        <w:widowControl/>
        <w:shd w:val="clear" w:color="auto" w:fill="FFFFFF"/>
        <w:spacing w:line="360" w:lineRule="auto"/>
        <w:ind w:firstLine="420" w:firstLineChars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图2 加载方式示意图</w:t>
      </w:r>
    </w:p>
    <w:p w14:paraId="4506BAED">
      <w:pPr>
        <w:widowControl/>
        <w:shd w:val="clear" w:color="auto" w:fill="FFFFFF"/>
        <w:spacing w:line="360" w:lineRule="auto"/>
        <w:rPr>
          <w:rFonts w:ascii="宋体" w:hAnsi="宋体" w:eastAsia="宋体" w:cs="Tahoma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 xml:space="preserve">三、失效判别标准    </w:t>
      </w:r>
    </w:p>
    <w:p w14:paraId="20C05D2C">
      <w:pPr>
        <w:widowControl/>
        <w:shd w:val="clear" w:color="auto" w:fill="FFFFFF"/>
        <w:spacing w:line="360" w:lineRule="auto"/>
        <w:ind w:firstLine="420" w:firstLineChars="0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结构倒塌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整体侧向倾覆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支座滑移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掉落桥岸平台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、加载点破坏无法继续加载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。</w:t>
      </w:r>
    </w:p>
    <w:p w14:paraId="47A53194">
      <w:pPr>
        <w:widowControl/>
        <w:shd w:val="clear" w:color="auto" w:fill="FFFFFF"/>
        <w:spacing w:line="360" w:lineRule="auto"/>
        <w:rPr>
          <w:rFonts w:ascii="宋体" w:hAnsi="宋体" w:eastAsia="宋体" w:cs="Tahoma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四、评分标准</w:t>
      </w:r>
    </w:p>
    <w:p w14:paraId="5F973AAF">
      <w:pPr>
        <w:widowControl/>
        <w:shd w:val="clear" w:color="auto" w:fill="FFFFFF"/>
        <w:spacing w:line="360" w:lineRule="auto"/>
        <w:rPr>
          <w:rFonts w:hint="default" w:ascii="宋体" w:hAnsi="宋体" w:eastAsia="宋体" w:cs="Tahom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1、模型长宽高超限，可加载但不参与一等奖、二等奖排名评比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。</w:t>
      </w:r>
    </w:p>
    <w:p w14:paraId="1F2DDC90">
      <w:pPr>
        <w:widowControl/>
        <w:shd w:val="clear" w:color="auto" w:fill="FFFFFF"/>
        <w:spacing w:line="360" w:lineRule="auto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2、加载得分以加载质量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Q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  <w:lang w:val="en-US" w:eastAsia="zh-CN"/>
        </w:rPr>
        <w:t>i</w:t>
      </w:r>
      <w:r>
        <w:rPr>
          <w:rFonts w:hint="eastAsia" w:ascii="宋体" w:hAnsi="宋体" w:eastAsia="宋体" w:cs="Tahoma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和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模型质量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M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  <w:lang w:val="en-US" w:eastAsia="zh-CN"/>
        </w:rPr>
        <w:t>i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baseline"/>
          <w:lang w:val="en-US" w:eastAsia="zh-CN"/>
        </w:rPr>
        <w:t>（单位：g）</w:t>
      </w:r>
      <w:r>
        <w:rPr>
          <w:rFonts w:hint="eastAsia" w:ascii="宋体" w:hAnsi="宋体" w:eastAsia="宋体" w:cs="Tahoma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的比例计算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。原则上要求裸模型质量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不宜大于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100g，考虑到手工制作误差，关于模型质量制定如下规则：裸模型质量在100~120g之间者，得分系数乘以折减系数r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=0.9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；裸模型质量大于等于120g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得分乘以折减系数r=0.8且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不能参与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一等奖、二等奖排名评比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；裸模型质量小于等于100g不乘折减系数。</w:t>
      </w:r>
    </w:p>
    <w:p w14:paraId="2987267A">
      <w:pPr>
        <w:widowControl/>
        <w:shd w:val="clear" w:color="auto" w:fill="FFFFFF"/>
        <w:spacing w:line="360" w:lineRule="auto"/>
        <w:rPr>
          <w:rFonts w:ascii="宋体" w:hAnsi="宋体" w:eastAsia="宋体" w:cs="Tahoma"/>
          <w:b/>
          <w:bCs/>
          <w:color w:val="auto"/>
          <w:sz w:val="24"/>
          <w:szCs w:val="24"/>
          <w:vertAlign w:val="subscript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第i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队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加载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得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eastAsia="zh-CN"/>
        </w:rPr>
        <w:t>分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为：K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</w:rPr>
        <w:t>i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=Q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</w:rPr>
        <w:t>i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/M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</w:rPr>
        <w:t xml:space="preserve">i 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*r</w:t>
      </w:r>
    </w:p>
    <w:p w14:paraId="4E7E1989">
      <w:pPr>
        <w:widowControl/>
        <w:shd w:val="clear" w:color="auto" w:fill="FFFFFF"/>
        <w:spacing w:line="360" w:lineRule="auto"/>
        <w:rPr>
          <w:rFonts w:ascii="宋体" w:hAnsi="宋体" w:eastAsia="宋体" w:cs="Tahoma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五：竞赛评奖机制及选拔办法</w:t>
      </w:r>
    </w:p>
    <w:p w14:paraId="0606F84D">
      <w:pPr>
        <w:widowControl/>
        <w:shd w:val="clear" w:color="auto" w:fill="FFFFFF"/>
        <w:spacing w:line="360" w:lineRule="auto"/>
        <w:ind w:firstLine="480" w:firstLineChars="200"/>
        <w:rPr>
          <w:rFonts w:hint="default" w:ascii="宋体" w:hAnsi="宋体" w:eastAsia="宋体" w:cs="Tahom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为了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提高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比赛效率，节省大家时间，本次校内竞赛共进行2轮，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第一轮为校内排名赛，第二轮为省赛选拔赛。</w:t>
      </w:r>
    </w:p>
    <w:p w14:paraId="2528064D">
      <w:pPr>
        <w:widowControl/>
        <w:shd w:val="clear" w:color="auto" w:fill="FFFFFF"/>
        <w:spacing w:line="360" w:lineRule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第一轮：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报名结束领取材料后，模型制作及准备期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天。校内赛奖项严格按照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第一轮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得分排名设置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一等奖、二等奖、三等奖及优胜奖若干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。</w:t>
      </w:r>
    </w:p>
    <w:p w14:paraId="06A0BE6B">
      <w:pPr>
        <w:widowControl/>
        <w:shd w:val="clear" w:color="auto" w:fill="FFFFFF"/>
        <w:spacing w:line="360" w:lineRule="auto"/>
        <w:ind w:firstLine="480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分数由三部分组成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：</w:t>
      </w:r>
    </w:p>
    <w:p w14:paraId="7F06513D">
      <w:pPr>
        <w:widowControl/>
        <w:shd w:val="clear" w:color="auto" w:fill="FFFFFF"/>
        <w:spacing w:line="360" w:lineRule="auto"/>
        <w:ind w:firstLine="480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a.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加载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比赛成绩（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0分），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加载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成绩计算方法为：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F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</w:rPr>
        <w:t>i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= K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</w:rPr>
        <w:t>i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/K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</w:rPr>
        <w:t xml:space="preserve">MAX 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0</w:t>
      </w:r>
    </w:p>
    <w:p w14:paraId="5FEC15D4">
      <w:pPr>
        <w:widowControl/>
        <w:shd w:val="clear" w:color="auto" w:fill="FFFFFF"/>
        <w:spacing w:line="360" w:lineRule="auto"/>
        <w:ind w:firstLine="480"/>
        <w:rPr>
          <w:rFonts w:hint="default" w:ascii="宋体" w:hAnsi="宋体" w:eastAsia="宋体" w:cs="Tahom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b.模型制作及质量评委打分（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分）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G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  <w:lang w:val="en-US" w:eastAsia="zh-CN"/>
        </w:rPr>
        <w:t>i</w:t>
      </w:r>
    </w:p>
    <w:p w14:paraId="0580A83E">
      <w:pPr>
        <w:widowControl/>
        <w:shd w:val="clear" w:color="auto" w:fill="FFFFFF"/>
        <w:spacing w:line="360" w:lineRule="auto"/>
        <w:ind w:firstLine="480"/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  <w:lang w:val="en-US" w:eastAsia="zh-CN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c.日常表现指导教师打分（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分）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H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  <w:lang w:val="en-US" w:eastAsia="zh-CN"/>
        </w:rPr>
        <w:t>i</w:t>
      </w:r>
    </w:p>
    <w:p w14:paraId="4DB5BDC9">
      <w:pPr>
        <w:widowControl/>
        <w:shd w:val="clear" w:color="auto" w:fill="FFFFFF"/>
        <w:spacing w:line="360" w:lineRule="auto"/>
        <w:ind w:firstLine="480"/>
        <w:rPr>
          <w:rFonts w:hint="default" w:ascii="宋体" w:hAnsi="宋体" w:eastAsia="宋体" w:cs="Tahoma"/>
          <w:b/>
          <w:bCs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baseline"/>
          <w:lang w:val="en-US" w:eastAsia="zh-CN"/>
        </w:rPr>
        <w:t>第i只队伍的最终得分: S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  <w:lang w:val="en-US" w:eastAsia="zh-CN"/>
        </w:rPr>
        <w:t>i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baseline"/>
          <w:lang w:val="en-US" w:eastAsia="zh-CN"/>
        </w:rPr>
        <w:t>=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F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</w:rPr>
        <w:t>i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baseline"/>
          <w:lang w:val="en-US" w:eastAsia="zh-CN"/>
        </w:rPr>
        <w:t>+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G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  <w:lang w:val="en-US" w:eastAsia="zh-CN"/>
        </w:rPr>
        <w:t>i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baseline"/>
          <w:lang w:val="en-US" w:eastAsia="zh-CN"/>
        </w:rPr>
        <w:t>+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H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  <w:lang w:val="en-US" w:eastAsia="zh-CN"/>
        </w:rPr>
        <w:t>i</w:t>
      </w:r>
    </w:p>
    <w:p w14:paraId="2334F9CA">
      <w:pPr>
        <w:widowControl/>
        <w:shd w:val="clear" w:color="auto" w:fill="FFFFFF"/>
        <w:spacing w:line="360" w:lineRule="auto"/>
        <w:rPr>
          <w:rFonts w:hint="eastAsia"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第二轮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eastAsia="zh-CN"/>
        </w:rPr>
        <w:t>：</w:t>
      </w:r>
    </w:p>
    <w:p w14:paraId="1380F082">
      <w:pPr>
        <w:widowControl/>
        <w:shd w:val="clear" w:color="auto" w:fill="FFFFFF"/>
        <w:spacing w:line="360" w:lineRule="auto"/>
        <w:ind w:firstLine="480"/>
        <w:rPr>
          <w:rFonts w:ascii="宋体" w:hAnsi="宋体" w:eastAsia="宋体" w:cs="Tahoma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第一轮结束后，参与成员可按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原队伍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个人报名重组队伍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参加第二轮选拔赛。将报名的队伍按各队员在第一轮中的排名排序，选择排名最前的4支队伍进行第二轮角逐，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第二轮竞赛得分最高的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eastAsia="zh-CN"/>
        </w:rPr>
        <w:t>两支队伍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将代表学校参加5月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举行</w:t>
      </w:r>
      <w:bookmarkStart w:id="0" w:name="_GoBack"/>
      <w:bookmarkEnd w:id="0"/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山东省省赛。</w:t>
      </w:r>
    </w:p>
    <w:p w14:paraId="78422FCC">
      <w:pPr>
        <w:widowControl/>
        <w:shd w:val="clear" w:color="auto" w:fill="FFFFFF"/>
        <w:spacing w:line="360" w:lineRule="auto"/>
        <w:jc w:val="right"/>
        <w:rPr>
          <w:rFonts w:ascii="宋体" w:hAnsi="宋体" w:eastAsia="宋体" w:cs="Tahoma"/>
          <w:color w:val="auto"/>
          <w:sz w:val="24"/>
          <w:szCs w:val="24"/>
        </w:rPr>
      </w:pPr>
    </w:p>
    <w:p w14:paraId="43554774">
      <w:pPr>
        <w:widowControl/>
        <w:shd w:val="clear" w:color="auto" w:fill="FFFFFF"/>
        <w:spacing w:line="360" w:lineRule="auto"/>
        <w:jc w:val="right"/>
        <w:rPr>
          <w:rFonts w:ascii="Tahoma" w:hAnsi="Tahoma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 xml:space="preserve">                                           土木工程系 </w:t>
      </w:r>
    </w:p>
    <w:p w14:paraId="492A3411">
      <w:pPr>
        <w:widowControl/>
        <w:shd w:val="clear" w:color="auto" w:fill="FFFFFF"/>
        <w:spacing w:line="360" w:lineRule="auto"/>
        <w:jc w:val="righ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sz w:val="24"/>
          <w:szCs w:val="24"/>
        </w:rPr>
        <w:t xml:space="preserve">                                              </w:t>
      </w:r>
    </w:p>
    <w:p w14:paraId="44323B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060DC6"/>
    <w:rsid w:val="000032D3"/>
    <w:rsid w:val="00060DC6"/>
    <w:rsid w:val="000715FC"/>
    <w:rsid w:val="000D2DA8"/>
    <w:rsid w:val="00105CB8"/>
    <w:rsid w:val="00111507"/>
    <w:rsid w:val="001423A9"/>
    <w:rsid w:val="001478A7"/>
    <w:rsid w:val="00151AE2"/>
    <w:rsid w:val="00191232"/>
    <w:rsid w:val="001A0BFA"/>
    <w:rsid w:val="00200E60"/>
    <w:rsid w:val="002139C4"/>
    <w:rsid w:val="00223AB4"/>
    <w:rsid w:val="00236C40"/>
    <w:rsid w:val="00262DD8"/>
    <w:rsid w:val="0027600C"/>
    <w:rsid w:val="00291D07"/>
    <w:rsid w:val="002A17D7"/>
    <w:rsid w:val="002A69B5"/>
    <w:rsid w:val="002A6AAA"/>
    <w:rsid w:val="002E3AAD"/>
    <w:rsid w:val="002F169B"/>
    <w:rsid w:val="003201D6"/>
    <w:rsid w:val="003601BB"/>
    <w:rsid w:val="003D2EF1"/>
    <w:rsid w:val="003E2DBC"/>
    <w:rsid w:val="003E4BE0"/>
    <w:rsid w:val="00422466"/>
    <w:rsid w:val="00434879"/>
    <w:rsid w:val="00464B81"/>
    <w:rsid w:val="00476646"/>
    <w:rsid w:val="0048033B"/>
    <w:rsid w:val="00481E22"/>
    <w:rsid w:val="00481F26"/>
    <w:rsid w:val="004A7401"/>
    <w:rsid w:val="00502FA8"/>
    <w:rsid w:val="00503231"/>
    <w:rsid w:val="00536406"/>
    <w:rsid w:val="00537AC0"/>
    <w:rsid w:val="0054366A"/>
    <w:rsid w:val="005441C7"/>
    <w:rsid w:val="0055265E"/>
    <w:rsid w:val="00552A21"/>
    <w:rsid w:val="00561336"/>
    <w:rsid w:val="0056192B"/>
    <w:rsid w:val="00570384"/>
    <w:rsid w:val="00580FF3"/>
    <w:rsid w:val="00596C63"/>
    <w:rsid w:val="006273D5"/>
    <w:rsid w:val="00630604"/>
    <w:rsid w:val="0065799B"/>
    <w:rsid w:val="00661D60"/>
    <w:rsid w:val="006735FD"/>
    <w:rsid w:val="00683832"/>
    <w:rsid w:val="00696ECD"/>
    <w:rsid w:val="006B66B0"/>
    <w:rsid w:val="006E5CFF"/>
    <w:rsid w:val="00713EBB"/>
    <w:rsid w:val="00736E2E"/>
    <w:rsid w:val="00772711"/>
    <w:rsid w:val="007749A2"/>
    <w:rsid w:val="00780470"/>
    <w:rsid w:val="007D2DDE"/>
    <w:rsid w:val="007E1E21"/>
    <w:rsid w:val="007E3033"/>
    <w:rsid w:val="007E58E0"/>
    <w:rsid w:val="00865A8A"/>
    <w:rsid w:val="00872A79"/>
    <w:rsid w:val="00882657"/>
    <w:rsid w:val="008871AF"/>
    <w:rsid w:val="008A0226"/>
    <w:rsid w:val="008A69FF"/>
    <w:rsid w:val="008C7893"/>
    <w:rsid w:val="0091278D"/>
    <w:rsid w:val="00917CBC"/>
    <w:rsid w:val="00940B4F"/>
    <w:rsid w:val="009435AD"/>
    <w:rsid w:val="00943B3B"/>
    <w:rsid w:val="00952013"/>
    <w:rsid w:val="00962E84"/>
    <w:rsid w:val="0097298C"/>
    <w:rsid w:val="00972A48"/>
    <w:rsid w:val="0097446A"/>
    <w:rsid w:val="00975B5F"/>
    <w:rsid w:val="00993A81"/>
    <w:rsid w:val="009A532C"/>
    <w:rsid w:val="009D4283"/>
    <w:rsid w:val="00A440D7"/>
    <w:rsid w:val="00B14B02"/>
    <w:rsid w:val="00B32866"/>
    <w:rsid w:val="00B44012"/>
    <w:rsid w:val="00B55C7F"/>
    <w:rsid w:val="00B76336"/>
    <w:rsid w:val="00B96E74"/>
    <w:rsid w:val="00BF7555"/>
    <w:rsid w:val="00C0012A"/>
    <w:rsid w:val="00C149E4"/>
    <w:rsid w:val="00C24121"/>
    <w:rsid w:val="00C330FA"/>
    <w:rsid w:val="00C477AA"/>
    <w:rsid w:val="00C64F96"/>
    <w:rsid w:val="00CB2550"/>
    <w:rsid w:val="00CF5EDA"/>
    <w:rsid w:val="00CF6F84"/>
    <w:rsid w:val="00CF6F93"/>
    <w:rsid w:val="00D01C20"/>
    <w:rsid w:val="00D06F1E"/>
    <w:rsid w:val="00D07735"/>
    <w:rsid w:val="00D73045"/>
    <w:rsid w:val="00DB2D6B"/>
    <w:rsid w:val="00E53A3E"/>
    <w:rsid w:val="00E77788"/>
    <w:rsid w:val="00E97FF6"/>
    <w:rsid w:val="00EA4817"/>
    <w:rsid w:val="00EA7511"/>
    <w:rsid w:val="00EB7296"/>
    <w:rsid w:val="00EC0C1B"/>
    <w:rsid w:val="00EC2AE4"/>
    <w:rsid w:val="00EC6912"/>
    <w:rsid w:val="00ED5A7E"/>
    <w:rsid w:val="00F0672B"/>
    <w:rsid w:val="00F503C5"/>
    <w:rsid w:val="00F51115"/>
    <w:rsid w:val="00F64882"/>
    <w:rsid w:val="00F8798E"/>
    <w:rsid w:val="00F9117D"/>
    <w:rsid w:val="00F942CB"/>
    <w:rsid w:val="00FA415E"/>
    <w:rsid w:val="00FA6A59"/>
    <w:rsid w:val="00FD3F44"/>
    <w:rsid w:val="00FD78FC"/>
    <w:rsid w:val="00FE100E"/>
    <w:rsid w:val="00FE23C2"/>
    <w:rsid w:val="00FF1EB1"/>
    <w:rsid w:val="00FF5030"/>
    <w:rsid w:val="04E01D28"/>
    <w:rsid w:val="09202281"/>
    <w:rsid w:val="098A7B3C"/>
    <w:rsid w:val="0AB54B09"/>
    <w:rsid w:val="0B280A41"/>
    <w:rsid w:val="0C937D2A"/>
    <w:rsid w:val="0DC0154F"/>
    <w:rsid w:val="10003F64"/>
    <w:rsid w:val="1023424D"/>
    <w:rsid w:val="1049741E"/>
    <w:rsid w:val="16B83924"/>
    <w:rsid w:val="194005E6"/>
    <w:rsid w:val="1BEE3D72"/>
    <w:rsid w:val="1C7F0661"/>
    <w:rsid w:val="1DC5517E"/>
    <w:rsid w:val="1E6C3F37"/>
    <w:rsid w:val="1ED6355B"/>
    <w:rsid w:val="21EC2BAE"/>
    <w:rsid w:val="24834348"/>
    <w:rsid w:val="25824C44"/>
    <w:rsid w:val="270D3682"/>
    <w:rsid w:val="279E540C"/>
    <w:rsid w:val="29D03142"/>
    <w:rsid w:val="2F93745E"/>
    <w:rsid w:val="307911E6"/>
    <w:rsid w:val="334F1B05"/>
    <w:rsid w:val="339F2130"/>
    <w:rsid w:val="35E42E39"/>
    <w:rsid w:val="3781159C"/>
    <w:rsid w:val="394B5DE7"/>
    <w:rsid w:val="3B135C4E"/>
    <w:rsid w:val="3BC06136"/>
    <w:rsid w:val="3BF572E2"/>
    <w:rsid w:val="3D502F1A"/>
    <w:rsid w:val="3D9C496A"/>
    <w:rsid w:val="3F0E0DBA"/>
    <w:rsid w:val="41956811"/>
    <w:rsid w:val="419E0925"/>
    <w:rsid w:val="43320911"/>
    <w:rsid w:val="445D4234"/>
    <w:rsid w:val="44B3478B"/>
    <w:rsid w:val="452F27B5"/>
    <w:rsid w:val="461A4432"/>
    <w:rsid w:val="4A9165BA"/>
    <w:rsid w:val="4B7F3201"/>
    <w:rsid w:val="4C117BC0"/>
    <w:rsid w:val="4C461759"/>
    <w:rsid w:val="57823A40"/>
    <w:rsid w:val="586A291B"/>
    <w:rsid w:val="5A2C5576"/>
    <w:rsid w:val="5A512D59"/>
    <w:rsid w:val="5AEB4489"/>
    <w:rsid w:val="5CAD1A79"/>
    <w:rsid w:val="5D63679B"/>
    <w:rsid w:val="5D961318"/>
    <w:rsid w:val="60CA7B26"/>
    <w:rsid w:val="61561A2A"/>
    <w:rsid w:val="624E66D7"/>
    <w:rsid w:val="63E87F75"/>
    <w:rsid w:val="65265181"/>
    <w:rsid w:val="663641A7"/>
    <w:rsid w:val="6AC177B4"/>
    <w:rsid w:val="6B636385"/>
    <w:rsid w:val="6CC00458"/>
    <w:rsid w:val="6D9C11E9"/>
    <w:rsid w:val="6DB17D11"/>
    <w:rsid w:val="701B5A9D"/>
    <w:rsid w:val="70533B18"/>
    <w:rsid w:val="707365C4"/>
    <w:rsid w:val="70D67DEC"/>
    <w:rsid w:val="7413099D"/>
    <w:rsid w:val="746943F1"/>
    <w:rsid w:val="74990214"/>
    <w:rsid w:val="76333ACC"/>
    <w:rsid w:val="766B10A1"/>
    <w:rsid w:val="767D6173"/>
    <w:rsid w:val="76B564A3"/>
    <w:rsid w:val="77C26F0E"/>
    <w:rsid w:val="77D12503"/>
    <w:rsid w:val="78127083"/>
    <w:rsid w:val="781E61F3"/>
    <w:rsid w:val="7886749F"/>
    <w:rsid w:val="79DC7CF3"/>
    <w:rsid w:val="79FC632D"/>
    <w:rsid w:val="7BF14D44"/>
    <w:rsid w:val="7FF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852</Words>
  <Characters>949</Characters>
  <Lines>6</Lines>
  <Paragraphs>1</Paragraphs>
  <TotalTime>16</TotalTime>
  <ScaleCrop>false</ScaleCrop>
  <LinksUpToDate>false</LinksUpToDate>
  <CharactersWithSpaces>1051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2024-03-03T06:30:00Z</dcterms:created>
  <dc:creator>Administrator</dc:creator>
  <cp:lastModifiedBy>张天伟</cp:lastModifiedBy>
  <dcterms:modified xsi:type="dcterms:W3CDTF">2025-03-06T09:11:06Z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6C8187B0D5384FBD9D96520F4B5BDDDA_13</vt:lpwstr>
  </property>
  <property fmtid="{D5CDD505-2E9C-101B-9397-08002B2CF9AE}" pid="4" name="KSOTemplateDocerSaveRecord">
    <vt:lpwstr>eyJoZGlkIjoiOTVhNzlhMmM5OTY0NDM5MjRhZGY4ZWM4MWY5YzdlOWYiLCJ1c2VySWQiOiIyODE1MDAzNDkifQ==</vt:lpwstr>
  </property>
</Properties>
</file>