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eastAsia="华文仿宋"/>
          <w:b/>
          <w:bCs/>
          <w:sz w:val="28"/>
          <w:szCs w:val="28"/>
        </w:rPr>
      </w:pPr>
      <w:r>
        <w:rPr>
          <w:rFonts w:hint="eastAsia" w:eastAsia="华文仿宋"/>
          <w:b/>
          <w:bCs/>
          <w:sz w:val="28"/>
          <w:szCs w:val="28"/>
        </w:rPr>
        <w:t>附件</w:t>
      </w:r>
      <w:r>
        <w:rPr>
          <w:rFonts w:hint="eastAsia" w:eastAsia="华文仿宋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eastAsia="华文仿宋"/>
          <w:b/>
          <w:bCs/>
          <w:sz w:val="28"/>
          <w:szCs w:val="28"/>
        </w:rPr>
        <w:t>：</w:t>
      </w:r>
    </w:p>
    <w:p>
      <w:pPr>
        <w:snapToGrid w:val="0"/>
        <w:spacing w:line="300" w:lineRule="auto"/>
        <w:jc w:val="center"/>
        <w:rPr>
          <w:rFonts w:hint="eastAsia"/>
          <w:b/>
          <w:bCs/>
          <w:sz w:val="32"/>
          <w:szCs w:val="20"/>
        </w:rPr>
      </w:pPr>
      <w:r>
        <w:rPr>
          <w:rFonts w:hint="eastAsia"/>
          <w:b/>
          <w:bCs/>
          <w:sz w:val="32"/>
          <w:szCs w:val="20"/>
        </w:rPr>
        <w:t>土木工程学院研究生学科竞赛认定名单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53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 w:hAnsi="宋体"/>
                <w:sz w:val="24"/>
              </w:rPr>
              <w:t>全国高校学生钢结构创新竞赛</w:t>
            </w:r>
          </w:p>
        </w:tc>
        <w:tc>
          <w:tcPr>
            <w:tcW w:w="416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sz w:val="24"/>
                <w:vertAlign w:val="baseline"/>
              </w:rPr>
            </w:pPr>
            <w:r>
              <w:rPr>
                <w:rFonts w:hint="eastAsia" w:hAnsi="宋体"/>
                <w:sz w:val="24"/>
              </w:rPr>
              <w:t>中国钢结构协会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sz w:val="24"/>
                <w:highlight w:val="yellow"/>
                <w:vertAlign w:val="baseline"/>
              </w:rPr>
            </w:pPr>
            <w:r>
              <w:rPr>
                <w:rFonts w:hint="eastAsia"/>
                <w:sz w:val="24"/>
              </w:rPr>
              <w:t>全国高校房地产创新创业邀请赛</w:t>
            </w:r>
          </w:p>
        </w:tc>
        <w:tc>
          <w:tcPr>
            <w:tcW w:w="416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sz w:val="24"/>
                <w:highlight w:val="yellow"/>
                <w:vertAlign w:val="baseline"/>
              </w:rPr>
            </w:pPr>
            <w:r>
              <w:rPr>
                <w:rFonts w:hint="eastAsia"/>
                <w:sz w:val="24"/>
              </w:rPr>
              <w:t>中国建设教育协会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全国大学生房地产策划大赛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中国建设教育协会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优路杯全国</w:t>
            </w:r>
            <w:r>
              <w:rPr>
                <w:sz w:val="24"/>
              </w:rPr>
              <w:t>BIM</w:t>
            </w:r>
            <w:r>
              <w:rPr>
                <w:rFonts w:hint="eastAsia"/>
                <w:sz w:val="24"/>
              </w:rPr>
              <w:t>大赛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工业和信息化部人才交流中心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建设工程与管理创新竞赛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清华大学建设管理系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全国大学生智能建造与管理创新</w:t>
            </w:r>
            <w:r>
              <w:rPr>
                <w:rFonts w:hint="eastAsia"/>
                <w:sz w:val="24"/>
                <w:lang w:val="en-US" w:eastAsia="zh-CN"/>
              </w:rPr>
              <w:t>竞赛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中国建设教育协会、智慧城市与智能建造产业创新联盟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国际结构健康监测竞赛（IC-SHM）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亚太智能结构技术联合研究会（ANCRiSST）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SAMPE“工程结构纤维复合材料创新应用设计”学生竞赛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SAMPE中国土木工程复合材料专业委员会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9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全国大学生岩土工程竞赛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中国土木工程学会土力学及岩土工程分会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全国大学生工程地质创新实践大赛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中国地质学会工程地质专业委员会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TC304 Student Contest on Data Analytics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国际土协风险评估及管理技术委员会（TC304）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美国全美大学生岩土工程竞赛</w:t>
            </w:r>
          </w:p>
        </w:tc>
        <w:tc>
          <w:tcPr>
            <w:tcW w:w="41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美国土木工程师学会岩土工程分会</w:t>
            </w:r>
          </w:p>
        </w:tc>
      </w:tr>
    </w:tbl>
    <w:p>
      <w:pPr>
        <w:rPr>
          <w:rFonts w:hint="eastAsia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  <w:lang w:val="en-US" w:eastAsia="zh-CN"/>
        </w:rPr>
        <w:t>除上述竞赛外，</w:t>
      </w:r>
      <w:r>
        <w:rPr>
          <w:rFonts w:hint="eastAsia"/>
          <w:sz w:val="24"/>
          <w:szCs w:val="24"/>
        </w:rPr>
        <w:t>其余经</w:t>
      </w:r>
      <w:r>
        <w:rPr>
          <w:rFonts w:hint="eastAsia"/>
          <w:sz w:val="24"/>
          <w:szCs w:val="24"/>
          <w:lang w:val="en-US" w:eastAsia="zh-CN"/>
        </w:rPr>
        <w:t>土木程与力学学科</w:t>
      </w:r>
      <w:r>
        <w:rPr>
          <w:rFonts w:hint="eastAsia"/>
          <w:sz w:val="24"/>
          <w:szCs w:val="24"/>
        </w:rPr>
        <w:t>学位</w:t>
      </w:r>
      <w:r>
        <w:rPr>
          <w:rFonts w:hint="eastAsia"/>
          <w:sz w:val="24"/>
          <w:szCs w:val="24"/>
          <w:lang w:val="en-US" w:eastAsia="zh-CN"/>
        </w:rPr>
        <w:t>评定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  <w:lang w:val="en-US" w:eastAsia="zh-CN"/>
        </w:rPr>
        <w:t>委员</w:t>
      </w:r>
      <w:r>
        <w:rPr>
          <w:rFonts w:hint="eastAsia"/>
          <w:sz w:val="24"/>
          <w:szCs w:val="24"/>
        </w:rPr>
        <w:t>会认定的高水平全国性或国际性学科竞赛。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ZTQ5MDk3MDZiYWU3NDliMjYxNTE2ODY0ODhjNmQifQ=="/>
  </w:docVars>
  <w:rsids>
    <w:rsidRoot w:val="4A854CDC"/>
    <w:rsid w:val="0AD67BFB"/>
    <w:rsid w:val="43D906D9"/>
    <w:rsid w:val="4A854CDC"/>
    <w:rsid w:val="4B700C5B"/>
    <w:rsid w:val="607A153F"/>
    <w:rsid w:val="654150A1"/>
    <w:rsid w:val="74866A81"/>
    <w:rsid w:val="75BE2AC4"/>
    <w:rsid w:val="78F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2023-03-10T07:45:00Z</dcterms:created>
  <dc:creator>lenovo</dc:creator>
  <cp:lastModifiedBy>18845</cp:lastModifiedBy>
  <dcterms:modified xsi:type="dcterms:W3CDTF">2024-08-21T01:22:45Z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B215A472C20E4EB58A810BE0B7D0571D_12</vt:lpwstr>
  </property>
</Properties>
</file>